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line="360" w:lineRule="auto"/>
        <w:ind w:leftChars="0"/>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附件6</w:t>
      </w:r>
    </w:p>
    <w:p>
      <w:pPr>
        <w:pStyle w:val="2"/>
        <w:numPr>
          <w:ilvl w:val="0"/>
          <w:numId w:val="0"/>
        </w:numPr>
        <w:spacing w:line="360" w:lineRule="auto"/>
        <w:ind w:leftChars="0"/>
        <w:jc w:val="center"/>
        <w:rPr>
          <w:rFonts w:hint="eastAsia"/>
          <w:lang w:val="en-US" w:eastAsia="zh-CN"/>
        </w:rPr>
      </w:pPr>
      <w:r>
        <w:rPr>
          <w:rFonts w:hint="eastAsia"/>
          <w:lang w:val="en-US" w:eastAsia="zh-CN"/>
        </w:rPr>
        <w:t>网报注意事项和</w:t>
      </w:r>
      <w:r>
        <w:rPr>
          <w:rFonts w:hint="eastAsia"/>
        </w:rPr>
        <w:t>用户手册</w:t>
      </w:r>
    </w:p>
    <w:p>
      <w:pPr>
        <w:pStyle w:val="2"/>
        <w:numPr>
          <w:ilvl w:val="0"/>
          <w:numId w:val="0"/>
        </w:numPr>
        <w:spacing w:line="360" w:lineRule="auto"/>
        <w:ind w:leftChars="0"/>
        <w:jc w:val="center"/>
        <w:rPr>
          <w:rFonts w:hint="eastAsia"/>
          <w:lang w:val="en-US" w:eastAsia="zh-CN"/>
        </w:rPr>
      </w:pPr>
    </w:p>
    <w:p>
      <w:pPr>
        <w:adjustRightInd w:val="0"/>
        <w:snapToGrid w:val="0"/>
        <w:spacing w:line="560" w:lineRule="exact"/>
        <w:ind w:firstLine="883" w:firstLineChars="200"/>
        <w:rPr>
          <w:rFonts w:hint="eastAsia" w:ascii="仿宋_GB2312" w:hAnsi="仿宋" w:eastAsia="仿宋_GB2312" w:cs="Times New Roman"/>
          <w:b/>
          <w:bCs/>
          <w:sz w:val="44"/>
          <w:szCs w:val="44"/>
          <w:lang w:val="en-US" w:eastAsia="zh-CN"/>
        </w:rPr>
      </w:pPr>
      <w:r>
        <w:rPr>
          <w:rFonts w:hint="eastAsia" w:ascii="仿宋_GB2312" w:hAnsi="仿宋" w:eastAsia="仿宋_GB2312" w:cs="Times New Roman"/>
          <w:b/>
          <w:bCs/>
          <w:sz w:val="44"/>
          <w:szCs w:val="44"/>
          <w:lang w:val="en-US" w:eastAsia="zh-CN"/>
        </w:rPr>
        <w:t>注意事项</w:t>
      </w:r>
    </w:p>
    <w:p>
      <w:pPr>
        <w:adjustRightInd w:val="0"/>
        <w:snapToGrid w:val="0"/>
        <w:spacing w:line="560" w:lineRule="exact"/>
        <w:ind w:firstLine="640" w:firstLineChars="200"/>
        <w:rPr>
          <w:rFonts w:hint="default" w:ascii="仿宋_GB2312" w:hAnsi="仿宋" w:eastAsia="仿宋_GB2312" w:cs="Times New Roman"/>
          <w:sz w:val="32"/>
          <w:szCs w:val="32"/>
          <w:lang w:val="en-US" w:eastAsia="zh-CN"/>
        </w:rPr>
      </w:pPr>
      <w:r>
        <w:rPr>
          <w:rFonts w:hint="eastAsia" w:ascii="仿宋_GB2312" w:hAnsi="仿宋" w:eastAsia="仿宋_GB2312" w:cs="Times New Roman"/>
          <w:sz w:val="32"/>
          <w:szCs w:val="32"/>
          <w:lang w:val="en-US" w:eastAsia="zh-CN"/>
        </w:rPr>
        <w:t>一、</w:t>
      </w:r>
      <w:r>
        <w:rPr>
          <w:rFonts w:hint="eastAsia" w:ascii="仿宋_GB2312" w:hAnsi="仿宋" w:eastAsia="仿宋_GB2312" w:cs="Times New Roman"/>
          <w:sz w:val="32"/>
          <w:szCs w:val="32"/>
        </w:rPr>
        <w:t>由于</w:t>
      </w:r>
      <w:r>
        <w:rPr>
          <w:rFonts w:hint="eastAsia" w:ascii="仿宋_GB2312" w:hAnsi="仿宋" w:eastAsia="仿宋_GB2312" w:cs="Times New Roman"/>
          <w:sz w:val="32"/>
          <w:szCs w:val="32"/>
          <w:lang w:val="en-US" w:eastAsia="zh-CN"/>
        </w:rPr>
        <w:t>全国申办人员较多</w:t>
      </w:r>
      <w:r>
        <w:rPr>
          <w:rFonts w:hint="eastAsia" w:ascii="仿宋_GB2312" w:hAnsi="仿宋" w:eastAsia="仿宋_GB2312" w:cs="Times New Roman"/>
          <w:sz w:val="32"/>
          <w:szCs w:val="32"/>
        </w:rPr>
        <w:t>，请尽量避开高峰时间报名。</w:t>
      </w:r>
      <w:r>
        <w:rPr>
          <w:rFonts w:hint="eastAsia" w:ascii="仿宋_GB2312" w:hAnsi="仿宋" w:eastAsia="仿宋_GB2312" w:cs="Times New Roman"/>
          <w:sz w:val="32"/>
          <w:szCs w:val="32"/>
          <w:lang w:val="en-US" w:eastAsia="zh-CN"/>
        </w:rPr>
        <w:t>如果网报过程中出现卡顿等情况，经人事处工作人员测试验证，可通过不断刷新或重新登录解决。</w:t>
      </w:r>
    </w:p>
    <w:p>
      <w:pPr>
        <w:adjustRightInd w:val="0"/>
        <w:snapToGrid w:val="0"/>
        <w:spacing w:line="56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lang w:val="en-US" w:eastAsia="zh-CN"/>
        </w:rPr>
        <w:t>二、</w:t>
      </w:r>
      <w:r>
        <w:rPr>
          <w:rFonts w:hint="eastAsia" w:ascii="仿宋_GB2312" w:hAnsi="仿宋" w:eastAsia="仿宋_GB2312" w:cs="Times New Roman"/>
          <w:sz w:val="32"/>
          <w:szCs w:val="32"/>
        </w:rPr>
        <w:t>网上报名时需注意以下几点：</w:t>
      </w:r>
    </w:p>
    <w:p>
      <w:pPr>
        <w:adjustRightInd w:val="0"/>
        <w:snapToGrid w:val="0"/>
        <w:spacing w:line="56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1.请仔细阅读“须知”</w:t>
      </w:r>
      <w:r>
        <w:rPr>
          <w:rFonts w:hint="eastAsia" w:ascii="仿宋_GB2312" w:hAnsi="仿宋" w:eastAsia="仿宋_GB2312" w:cs="Times New Roman"/>
          <w:sz w:val="32"/>
          <w:szCs w:val="32"/>
        </w:rPr>
        <w:drawing>
          <wp:inline distT="0" distB="0" distL="0" distR="0">
            <wp:extent cx="783590" cy="262255"/>
            <wp:effectExtent l="0" t="0" r="1651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 cstate="print"/>
                    <a:srcRect/>
                    <a:stretch>
                      <a:fillRect/>
                    </a:stretch>
                  </pic:blipFill>
                  <pic:spPr>
                    <a:xfrm>
                      <a:off x="0" y="0"/>
                      <a:ext cx="784006" cy="262561"/>
                    </a:xfrm>
                    <a:prstGeom prst="rect">
                      <a:avLst/>
                    </a:prstGeom>
                    <a:noFill/>
                    <a:ln w="9525">
                      <a:noFill/>
                      <a:miter lim="800000"/>
                      <a:headEnd/>
                      <a:tailEnd/>
                    </a:ln>
                  </pic:spPr>
                </pic:pic>
              </a:graphicData>
            </a:graphic>
          </wp:inline>
        </w:drawing>
      </w:r>
      <w:r>
        <w:rPr>
          <w:rFonts w:hint="eastAsia" w:ascii="仿宋_GB2312" w:hAnsi="仿宋" w:eastAsia="仿宋_GB2312" w:cs="Times New Roman"/>
          <w:sz w:val="32"/>
          <w:szCs w:val="32"/>
        </w:rPr>
        <w:t>，然后进行“报名”；</w:t>
      </w:r>
    </w:p>
    <w:p>
      <w:pPr>
        <w:adjustRightInd w:val="0"/>
        <w:snapToGrid w:val="0"/>
        <w:spacing w:line="560" w:lineRule="exact"/>
        <w:ind w:firstLine="643" w:firstLineChars="200"/>
        <w:rPr>
          <w:rFonts w:ascii="仿宋_GB2312" w:hAnsi="仿宋" w:eastAsia="仿宋_GB2312" w:cs="Times New Roman"/>
          <w:b/>
          <w:bCs/>
          <w:sz w:val="32"/>
          <w:szCs w:val="32"/>
        </w:rPr>
      </w:pPr>
      <w:r>
        <w:rPr>
          <w:rFonts w:hint="eastAsia" w:ascii="仿宋_GB2312" w:hAnsi="仿宋" w:eastAsia="仿宋_GB2312" w:cs="Times New Roman"/>
          <w:b/>
          <w:bCs/>
          <w:sz w:val="32"/>
          <w:szCs w:val="32"/>
        </w:rPr>
        <w:t>2.“考试形式”选择“非国家统一考试（含免考）”；</w:t>
      </w:r>
    </w:p>
    <w:p>
      <w:pPr>
        <w:adjustRightInd w:val="0"/>
        <w:snapToGrid w:val="0"/>
        <w:spacing w:line="560" w:lineRule="exact"/>
        <w:ind w:firstLine="643" w:firstLineChars="200"/>
        <w:rPr>
          <w:rFonts w:ascii="仿宋_GB2312" w:hAnsi="仿宋" w:eastAsia="仿宋_GB2312" w:cs="Times New Roman"/>
          <w:b/>
          <w:bCs/>
          <w:sz w:val="32"/>
          <w:szCs w:val="32"/>
        </w:rPr>
      </w:pPr>
      <w:r>
        <w:rPr>
          <w:rFonts w:hint="eastAsia" w:ascii="仿宋_GB2312" w:hAnsi="仿宋" w:eastAsia="仿宋_GB2312" w:cs="Times New Roman"/>
          <w:b/>
          <w:bCs/>
          <w:sz w:val="32"/>
          <w:szCs w:val="32"/>
        </w:rPr>
        <w:t>3.“认定所在地信息”选择“任教高等学校所在地”；</w:t>
      </w:r>
    </w:p>
    <w:p>
      <w:pPr>
        <w:adjustRightInd w:val="0"/>
        <w:snapToGrid w:val="0"/>
        <w:spacing w:line="560" w:lineRule="exact"/>
        <w:ind w:firstLine="643" w:firstLineChars="200"/>
        <w:rPr>
          <w:rFonts w:ascii="仿宋_GB2312" w:hAnsi="仿宋" w:eastAsia="仿宋_GB2312" w:cs="Times New Roman"/>
          <w:b/>
          <w:bCs/>
          <w:sz w:val="32"/>
          <w:szCs w:val="32"/>
        </w:rPr>
      </w:pPr>
      <w:r>
        <w:rPr>
          <w:rFonts w:hint="eastAsia" w:ascii="仿宋_GB2312" w:hAnsi="仿宋" w:eastAsia="仿宋_GB2312" w:cs="Times New Roman"/>
          <w:b/>
          <w:bCs/>
          <w:sz w:val="32"/>
          <w:szCs w:val="32"/>
        </w:rPr>
        <w:t>4.“认定机构”选择“四川省教育厅”；</w:t>
      </w:r>
    </w:p>
    <w:p>
      <w:pPr>
        <w:adjustRightInd w:val="0"/>
        <w:snapToGrid w:val="0"/>
        <w:spacing w:line="560" w:lineRule="exact"/>
        <w:ind w:firstLine="643" w:firstLineChars="200"/>
        <w:rPr>
          <w:rFonts w:ascii="仿宋_GB2312" w:hAnsi="仿宋" w:eastAsia="仿宋_GB2312" w:cs="Times New Roman"/>
          <w:b/>
          <w:bCs/>
          <w:sz w:val="32"/>
          <w:szCs w:val="32"/>
        </w:rPr>
      </w:pPr>
      <w:r>
        <w:rPr>
          <w:rFonts w:hint="eastAsia" w:ascii="仿宋_GB2312" w:hAnsi="仿宋" w:eastAsia="仿宋_GB2312" w:cs="Times New Roman"/>
          <w:b/>
          <w:bCs/>
          <w:sz w:val="32"/>
          <w:szCs w:val="32"/>
        </w:rPr>
        <w:t>5.“确认点”选择“四川省教育厅”；</w:t>
      </w:r>
      <w:bookmarkStart w:id="6" w:name="_GoBack"/>
      <w:bookmarkEnd w:id="6"/>
    </w:p>
    <w:p>
      <w:pPr>
        <w:adjustRightInd w:val="0"/>
        <w:snapToGrid w:val="0"/>
        <w:spacing w:line="560" w:lineRule="exact"/>
        <w:ind w:firstLine="643" w:firstLineChars="200"/>
        <w:rPr>
          <w:rFonts w:hint="eastAsia" w:ascii="仿宋_GB2312" w:hAnsi="仿宋" w:eastAsia="仿宋_GB2312" w:cs="Times New Roman"/>
          <w:b/>
          <w:bCs/>
          <w:sz w:val="32"/>
          <w:szCs w:val="32"/>
          <w:u w:val="single"/>
        </w:rPr>
      </w:pPr>
      <w:r>
        <w:rPr>
          <w:rFonts w:hint="eastAsia" w:ascii="仿宋_GB2312" w:hAnsi="仿宋" w:eastAsia="仿宋_GB2312" w:cs="Times New Roman"/>
          <w:b/>
          <w:bCs/>
          <w:sz w:val="32"/>
          <w:szCs w:val="32"/>
          <w:u w:val="single"/>
        </w:rPr>
        <w:t>6.“工作单位”</w:t>
      </w:r>
      <w:r>
        <w:rPr>
          <w:rFonts w:hint="eastAsia" w:ascii="仿宋_GB2312" w:hAnsi="仿宋" w:eastAsia="仿宋_GB2312" w:cs="Times New Roman"/>
          <w:b/>
          <w:bCs/>
          <w:sz w:val="32"/>
          <w:szCs w:val="32"/>
          <w:u w:val="single"/>
          <w:lang w:val="en-US" w:eastAsia="zh-CN"/>
        </w:rPr>
        <w:t>统一</w:t>
      </w:r>
      <w:r>
        <w:rPr>
          <w:rFonts w:hint="eastAsia" w:ascii="仿宋_GB2312" w:hAnsi="仿宋" w:eastAsia="仿宋_GB2312" w:cs="Times New Roman"/>
          <w:b/>
          <w:bCs/>
          <w:sz w:val="32"/>
          <w:szCs w:val="32"/>
          <w:u w:val="single"/>
        </w:rPr>
        <w:t>填写“西南医科大学”；</w:t>
      </w:r>
    </w:p>
    <w:p>
      <w:pPr>
        <w:adjustRightInd w:val="0"/>
        <w:snapToGrid w:val="0"/>
        <w:spacing w:line="560" w:lineRule="exact"/>
        <w:ind w:firstLine="643" w:firstLineChars="200"/>
        <w:rPr>
          <w:rFonts w:hint="eastAsia" w:ascii="仿宋_GB2312" w:hAnsi="仿宋" w:eastAsia="仿宋_GB2312" w:cs="Times New Roman"/>
          <w:b/>
          <w:bCs/>
          <w:sz w:val="32"/>
          <w:szCs w:val="32"/>
          <w:u w:val="single"/>
          <w:lang w:eastAsia="zh-CN"/>
        </w:rPr>
      </w:pPr>
      <w:r>
        <w:rPr>
          <w:rFonts w:hint="eastAsia" w:ascii="仿宋_GB2312" w:hAnsi="仿宋" w:eastAsia="仿宋_GB2312" w:cs="Times New Roman"/>
          <w:b/>
          <w:bCs/>
          <w:sz w:val="32"/>
          <w:szCs w:val="32"/>
          <w:u w:val="single"/>
        </w:rPr>
        <w:t>7.</w:t>
      </w:r>
      <w:r>
        <w:rPr>
          <w:rFonts w:hint="eastAsia" w:ascii="仿宋_GB2312" w:hAnsi="仿宋" w:eastAsia="仿宋_GB2312" w:cs="Times New Roman"/>
          <w:b/>
          <w:bCs/>
          <w:sz w:val="32"/>
          <w:szCs w:val="32"/>
          <w:u w:val="single"/>
        </w:rPr>
        <w:t>“现从事专业”</w:t>
      </w:r>
      <w:r>
        <w:rPr>
          <w:rFonts w:hint="eastAsia" w:ascii="仿宋_GB2312" w:hAnsi="仿宋" w:eastAsia="仿宋_GB2312" w:cs="Times New Roman"/>
          <w:b/>
          <w:bCs/>
          <w:sz w:val="32"/>
          <w:szCs w:val="32"/>
          <w:u w:val="single"/>
          <w:lang w:val="en-US" w:eastAsia="zh-CN"/>
        </w:rPr>
        <w:t>统一</w:t>
      </w:r>
      <w:r>
        <w:rPr>
          <w:rFonts w:hint="eastAsia" w:ascii="仿宋_GB2312" w:hAnsi="仿宋" w:eastAsia="仿宋_GB2312" w:cs="Times New Roman"/>
          <w:b/>
          <w:bCs/>
          <w:sz w:val="32"/>
          <w:szCs w:val="32"/>
          <w:u w:val="single"/>
        </w:rPr>
        <w:t>选择</w:t>
      </w:r>
      <w:r>
        <w:rPr>
          <w:rFonts w:hint="eastAsia" w:ascii="仿宋_GB2312" w:hAnsi="仿宋" w:eastAsia="仿宋_GB2312" w:cs="Times New Roman"/>
          <w:b/>
          <w:bCs/>
          <w:sz w:val="32"/>
          <w:szCs w:val="32"/>
          <w:u w:val="single"/>
          <w:lang w:val="en-US" w:eastAsia="zh-CN"/>
        </w:rPr>
        <w:t>为</w:t>
      </w:r>
      <w:r>
        <w:rPr>
          <w:rFonts w:hint="eastAsia" w:ascii="仿宋_GB2312" w:hAnsi="仿宋" w:eastAsia="仿宋_GB2312" w:cs="Times New Roman"/>
          <w:b/>
          <w:bCs/>
          <w:sz w:val="32"/>
          <w:szCs w:val="32"/>
          <w:u w:val="single"/>
        </w:rPr>
        <w:t>“在职教学人员”</w:t>
      </w:r>
      <w:r>
        <w:rPr>
          <w:rFonts w:hint="eastAsia" w:ascii="仿宋_GB2312" w:hAnsi="仿宋" w:eastAsia="仿宋_GB2312" w:cs="Times New Roman"/>
          <w:b/>
          <w:bCs/>
          <w:sz w:val="32"/>
          <w:szCs w:val="32"/>
          <w:u w:val="single"/>
          <w:lang w:eastAsia="zh-CN"/>
        </w:rPr>
        <w:t>；</w:t>
      </w:r>
    </w:p>
    <w:p>
      <w:pPr>
        <w:adjustRightInd w:val="0"/>
        <w:snapToGrid w:val="0"/>
        <w:spacing w:line="560" w:lineRule="exact"/>
        <w:ind w:firstLine="643" w:firstLineChars="200"/>
        <w:rPr>
          <w:rFonts w:hint="eastAsia" w:ascii="仿宋_GB2312" w:hAnsi="仿宋" w:eastAsia="仿宋_GB2312" w:cs="Times New Roman"/>
          <w:b/>
          <w:bCs/>
          <w:sz w:val="32"/>
          <w:szCs w:val="32"/>
          <w:u w:val="single"/>
          <w:lang w:val="en-US" w:eastAsia="zh-CN"/>
        </w:rPr>
      </w:pPr>
      <w:r>
        <w:rPr>
          <w:rFonts w:hint="eastAsia" w:ascii="仿宋_GB2312" w:hAnsi="仿宋" w:eastAsia="仿宋_GB2312" w:cs="Times New Roman"/>
          <w:b/>
          <w:bCs/>
          <w:sz w:val="32"/>
          <w:szCs w:val="32"/>
          <w:u w:val="single"/>
          <w:lang w:val="en-US" w:eastAsia="zh-CN"/>
        </w:rPr>
        <w:t>8.专业技术职务：只能在高等学校教师、科学研究人员两类下拉菜单中选择。当前无职称的，可选择为：高校教师未聘；三附院卫生系列专业技术人员，按照双聘政策，对应填写教授、副教授、讲师、助教；</w:t>
      </w:r>
    </w:p>
    <w:p>
      <w:pPr>
        <w:adjustRightInd w:val="0"/>
        <w:snapToGrid w:val="0"/>
        <w:spacing w:line="560" w:lineRule="exact"/>
        <w:ind w:firstLine="643" w:firstLineChars="200"/>
        <w:rPr>
          <w:rFonts w:hint="default" w:ascii="仿宋_GB2312" w:hAnsi="仿宋" w:eastAsia="仿宋_GB2312" w:cs="Times New Roman"/>
          <w:b/>
          <w:bCs/>
          <w:sz w:val="32"/>
          <w:szCs w:val="32"/>
          <w:u w:val="single"/>
          <w:lang w:val="en-US" w:eastAsia="zh-CN"/>
        </w:rPr>
      </w:pPr>
      <w:r>
        <w:rPr>
          <w:rFonts w:hint="eastAsia" w:ascii="仿宋_GB2312" w:hAnsi="仿宋" w:eastAsia="仿宋_GB2312" w:cs="Times New Roman"/>
          <w:b/>
          <w:bCs/>
          <w:sz w:val="32"/>
          <w:szCs w:val="32"/>
          <w:u w:val="single"/>
          <w:lang w:val="en-US" w:eastAsia="zh-CN"/>
        </w:rPr>
        <w:t>9.三附院卫编、职称为卫生系列的高级职称人员，申办时可以免岗前培训证。其双聘为教研系列的职称证书学校近期统一下发。</w:t>
      </w:r>
    </w:p>
    <w:p>
      <w:pPr>
        <w:adjustRightInd w:val="0"/>
        <w:snapToGrid w:val="0"/>
        <w:spacing w:line="560" w:lineRule="exact"/>
        <w:ind w:firstLine="640" w:firstLineChars="200"/>
        <w:rPr>
          <w:rFonts w:hint="default" w:ascii="仿宋_GB2312" w:hAnsi="仿宋" w:eastAsia="仿宋_GB2312" w:cs="Times New Roman"/>
          <w:sz w:val="32"/>
          <w:szCs w:val="32"/>
          <w:lang w:val="en-US" w:eastAsia="zh-CN"/>
        </w:rPr>
      </w:pPr>
      <w:r>
        <w:rPr>
          <w:rFonts w:hint="eastAsia" w:ascii="仿宋_GB2312" w:hAnsi="仿宋" w:eastAsia="仿宋_GB2312" w:cs="Times New Roman"/>
          <w:sz w:val="32"/>
          <w:szCs w:val="32"/>
          <w:lang w:val="en-US" w:eastAsia="zh-CN"/>
        </w:rPr>
        <w:t>10.“任教学科”选择与学历学位证书上专业一致，或与实际从事专业一致；</w:t>
      </w:r>
    </w:p>
    <w:p>
      <w:pPr>
        <w:adjustRightInd w:val="0"/>
        <w:snapToGrid w:val="0"/>
        <w:spacing w:line="560" w:lineRule="exact"/>
        <w:ind w:firstLine="640" w:firstLineChars="200"/>
        <w:rPr>
          <w:rFonts w:hint="eastAsia" w:ascii="仿宋_GB2312" w:hAnsi="仿宋" w:eastAsia="仿宋_GB2312" w:cs="Times New Roman"/>
          <w:sz w:val="32"/>
          <w:szCs w:val="32"/>
        </w:rPr>
      </w:pPr>
      <w:r>
        <w:rPr>
          <w:rFonts w:hint="eastAsia" w:ascii="仿宋_GB2312" w:hAnsi="仿宋" w:eastAsia="仿宋_GB2312" w:cs="Times New Roman"/>
          <w:sz w:val="32"/>
          <w:szCs w:val="32"/>
          <w:lang w:val="en-US" w:eastAsia="zh-CN"/>
        </w:rPr>
        <w:t>11</w:t>
      </w:r>
      <w:r>
        <w:rPr>
          <w:rFonts w:hint="eastAsia" w:ascii="仿宋_GB2312" w:hAnsi="仿宋" w:eastAsia="仿宋_GB2312" w:cs="Times New Roman"/>
          <w:sz w:val="32"/>
          <w:szCs w:val="32"/>
        </w:rPr>
        <w:t>.凡相关证书核验不成功的申请人，请按要求上传有关证件的电子扫描件，并在现场确认时出示原件。</w:t>
      </w:r>
    </w:p>
    <w:p>
      <w:pPr>
        <w:adjustRightInd w:val="0"/>
        <w:snapToGrid w:val="0"/>
        <w:spacing w:line="560" w:lineRule="exact"/>
        <w:ind w:firstLine="640" w:firstLineChars="200"/>
        <w:rPr>
          <w:rFonts w:hint="eastAsia" w:ascii="仿宋_GB2312" w:hAnsi="仿宋" w:eastAsia="仿宋_GB2312" w:cs="Times New Roman"/>
          <w:sz w:val="32"/>
          <w:szCs w:val="32"/>
          <w:lang w:val="en-US" w:eastAsia="zh-CN"/>
        </w:rPr>
      </w:pPr>
      <w:r>
        <w:rPr>
          <w:rFonts w:hint="eastAsia" w:ascii="仿宋_GB2312" w:hAnsi="仿宋" w:eastAsia="仿宋_GB2312" w:cs="Times New Roman"/>
          <w:sz w:val="32"/>
          <w:szCs w:val="32"/>
          <w:lang w:val="en-US" w:eastAsia="zh-CN"/>
        </w:rPr>
        <w:t>12.个人承诺书上传后，系统自动弹出一个方框，请申请人将承诺书的内容和本人签字拖入方框中。</w:t>
      </w:r>
    </w:p>
    <w:p>
      <w:pPr>
        <w:adjustRightInd w:val="0"/>
        <w:snapToGrid w:val="0"/>
        <w:spacing w:line="560" w:lineRule="exact"/>
        <w:ind w:firstLine="640" w:firstLineChars="200"/>
        <w:rPr>
          <w:rFonts w:hint="eastAsia" w:ascii="仿宋_GB2312" w:hAnsi="仿宋" w:eastAsia="仿宋_GB2312" w:cs="Times New Roman"/>
          <w:sz w:val="32"/>
          <w:szCs w:val="32"/>
          <w:lang w:val="en-US" w:eastAsia="zh-CN"/>
        </w:rPr>
      </w:pPr>
    </w:p>
    <w:p>
      <w:pPr>
        <w:adjustRightInd w:val="0"/>
        <w:snapToGrid w:val="0"/>
        <w:spacing w:line="560" w:lineRule="exact"/>
        <w:ind w:firstLine="883" w:firstLineChars="200"/>
        <w:rPr>
          <w:rFonts w:hint="default" w:ascii="仿宋_GB2312" w:hAnsi="仿宋" w:eastAsia="仿宋_GB2312" w:cs="Times New Roman"/>
          <w:b/>
          <w:bCs/>
          <w:sz w:val="44"/>
          <w:szCs w:val="44"/>
          <w:lang w:val="en-US" w:eastAsia="zh-CN"/>
        </w:rPr>
      </w:pPr>
      <w:r>
        <w:rPr>
          <w:rFonts w:hint="eastAsia" w:ascii="仿宋_GB2312" w:hAnsi="仿宋" w:eastAsia="仿宋_GB2312" w:cs="Times New Roman"/>
          <w:b/>
          <w:bCs/>
          <w:sz w:val="44"/>
          <w:szCs w:val="44"/>
          <w:lang w:val="en-US" w:eastAsia="zh-CN"/>
        </w:rPr>
        <w:t>用户手册</w:t>
      </w:r>
    </w:p>
    <w:p>
      <w:pPr>
        <w:rPr>
          <w:rFonts w:hint="default"/>
          <w:lang w:val="en-US" w:eastAsia="zh-CN"/>
        </w:rPr>
      </w:pPr>
    </w:p>
    <w:p>
      <w:pPr>
        <w:pStyle w:val="3"/>
        <w:numPr>
          <w:ilvl w:val="0"/>
          <w:numId w:val="0"/>
        </w:numPr>
        <w:spacing w:before="156"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rFonts w:hint="eastAsia" w:eastAsia="宋体"/>
          <w:sz w:val="24"/>
          <w:lang w:eastAsia="zh-CN"/>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stretch>
                      <a:fillRect/>
                    </a:stretch>
                  </pic:blipFill>
                  <pic:spPr>
                    <a:xfrm>
                      <a:off x="0" y="0"/>
                      <a:ext cx="1663303" cy="315546"/>
                    </a:xfrm>
                    <a:prstGeom prst="rect">
                      <a:avLst/>
                    </a:prstGeom>
                  </pic:spPr>
                </pic:pic>
              </a:graphicData>
            </a:graphic>
          </wp:inline>
        </w:drawing>
      </w:r>
      <w:r>
        <w:rPr>
          <w:rFonts w:hint="eastAsia"/>
          <w:sz w:val="24"/>
          <w:lang w:eastAsia="zh-CN"/>
        </w:rPr>
        <w:t>。</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435170771"/>
      <w:bookmarkStart w:id="3" w:name="_Toc311319818"/>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color w:val="FF0000"/>
        </w:rPr>
      </w:pPr>
      <w:r>
        <w:rPr>
          <w:rFonts w:hint="eastAsia" w:ascii="宋体" w:hAnsi="宋体"/>
          <w:color w:val="FF0000"/>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color w:val="FF0000"/>
        </w:rPr>
        <w:t>3</w:t>
      </w:r>
      <w:r>
        <w:rPr>
          <w:rFonts w:hint="eastAsia" w:ascii="宋体" w:hAnsi="宋体" w:eastAsia="宋体"/>
          <w:color w:val="FF0000"/>
        </w:rPr>
        <w:t>.1</w:t>
      </w:r>
      <w:bookmarkEnd w:id="4"/>
      <w:r>
        <w:rPr>
          <w:rFonts w:hint="eastAsia" w:ascii="宋体" w:hAnsi="宋体" w:eastAsia="宋体"/>
          <w:color w:val="FF0000"/>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adjustRightInd w:val="0"/>
        <w:snapToGrid w:val="0"/>
        <w:spacing w:line="560" w:lineRule="exact"/>
        <w:ind w:firstLine="643" w:firstLineChars="200"/>
        <w:rPr>
          <w:rFonts w:hint="eastAsia" w:ascii="仿宋_GB2312" w:hAnsi="仿宋" w:eastAsia="仿宋_GB2312" w:cs="Times New Roman"/>
          <w:b/>
          <w:bCs/>
          <w:sz w:val="32"/>
          <w:szCs w:val="32"/>
          <w:lang w:val="en-US" w:eastAsia="zh-CN"/>
        </w:rPr>
      </w:pPr>
    </w:p>
    <w:p>
      <w:pPr>
        <w:spacing w:line="360" w:lineRule="auto"/>
        <w:ind w:firstLine="420"/>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6F4C53"/>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1E4E"/>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064E0232"/>
    <w:rsid w:val="0B7D04EC"/>
    <w:rsid w:val="0D6B2EAA"/>
    <w:rsid w:val="105C0C1E"/>
    <w:rsid w:val="11D31C8A"/>
    <w:rsid w:val="13F71F7D"/>
    <w:rsid w:val="1DBF7E90"/>
    <w:rsid w:val="251F533A"/>
    <w:rsid w:val="259F70AC"/>
    <w:rsid w:val="29FC70D7"/>
    <w:rsid w:val="2A28547D"/>
    <w:rsid w:val="302D4B1D"/>
    <w:rsid w:val="38CF0DD4"/>
    <w:rsid w:val="4170081B"/>
    <w:rsid w:val="49840096"/>
    <w:rsid w:val="4A927B11"/>
    <w:rsid w:val="51EB0B29"/>
    <w:rsid w:val="54670F53"/>
    <w:rsid w:val="56995592"/>
    <w:rsid w:val="5E7C1AD4"/>
    <w:rsid w:val="627C648E"/>
    <w:rsid w:val="630675DA"/>
    <w:rsid w:val="75B13278"/>
    <w:rsid w:val="75D237E9"/>
    <w:rsid w:val="7A8F76C4"/>
    <w:rsid w:val="7EF75B68"/>
    <w:rsid w:val="7F2F4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qFormat/>
    <w:uiPriority w:val="99"/>
    <w:rPr>
      <w:color w:val="0000FF"/>
      <w:u w:val="single"/>
    </w:rPr>
  </w:style>
  <w:style w:type="character" w:customStyle="1" w:styleId="15">
    <w:name w:val="页眉 Char"/>
    <w:basedOn w:val="13"/>
    <w:link w:val="10"/>
    <w:qFormat/>
    <w:uiPriority w:val="99"/>
    <w:rPr>
      <w:sz w:val="18"/>
      <w:szCs w:val="18"/>
    </w:rPr>
  </w:style>
  <w:style w:type="character" w:customStyle="1" w:styleId="16">
    <w:name w:val="页脚 Char"/>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Char"/>
    <w:basedOn w:val="13"/>
    <w:link w:val="6"/>
    <w:qFormat/>
    <w:uiPriority w:val="0"/>
    <w:rPr>
      <w:rFonts w:ascii="Times New Roman" w:hAnsi="Times New Roman" w:eastAsia="宋体" w:cs="Times New Roman"/>
      <w:b/>
      <w:bCs/>
      <w:sz w:val="28"/>
      <w:szCs w:val="28"/>
    </w:rPr>
  </w:style>
  <w:style w:type="character" w:customStyle="1" w:styleId="22">
    <w:name w:val="标题 6 Char"/>
    <w:basedOn w:val="13"/>
    <w:link w:val="7"/>
    <w:qFormat/>
    <w:uiPriority w:val="0"/>
    <w:rPr>
      <w:rFonts w:ascii="Arial" w:hAnsi="Arial" w:eastAsia="黑体" w:cs="Times New Roman"/>
      <w:b/>
      <w:bCs/>
      <w:sz w:val="24"/>
      <w:szCs w:val="24"/>
    </w:rPr>
  </w:style>
  <w:style w:type="character" w:customStyle="1" w:styleId="23">
    <w:name w:val="标题 1 Char"/>
    <w:link w:val="2"/>
    <w:qFormat/>
    <w:uiPriority w:val="0"/>
    <w:rPr>
      <w:rFonts w:ascii="Times New Roman" w:hAnsi="Times New Roman" w:eastAsia="宋体" w:cs="Times New Roman"/>
      <w:b/>
      <w:bCs/>
      <w:kern w:val="44"/>
      <w:sz w:val="44"/>
      <w:szCs w:val="44"/>
    </w:rPr>
  </w:style>
  <w:style w:type="character" w:customStyle="1" w:styleId="24">
    <w:name w:val="标题 3 Char"/>
    <w:link w:val="4"/>
    <w:qFormat/>
    <w:uiPriority w:val="0"/>
    <w:rPr>
      <w:rFonts w:ascii="Times New Roman" w:hAnsi="Times New Roman" w:eastAsia="宋体" w:cs="Times New Roman"/>
      <w:b/>
      <w:bCs/>
      <w:sz w:val="32"/>
      <w:szCs w:val="32"/>
    </w:rPr>
  </w:style>
  <w:style w:type="character" w:customStyle="1" w:styleId="25">
    <w:name w:val="标题 4 Char"/>
    <w:link w:val="5"/>
    <w:qFormat/>
    <w:uiPriority w:val="0"/>
    <w:rPr>
      <w:rFonts w:ascii="Arial" w:hAnsi="Arial" w:eastAsia="黑体" w:cs="Times New Roman"/>
      <w:b/>
      <w:bCs/>
      <w:sz w:val="28"/>
      <w:szCs w:val="28"/>
    </w:rPr>
  </w:style>
  <w:style w:type="character" w:customStyle="1" w:styleId="26">
    <w:name w:val="标题 2 Char"/>
    <w:link w:val="3"/>
    <w:qFormat/>
    <w:uiPriority w:val="0"/>
    <w:rPr>
      <w:rFonts w:ascii="Arial" w:hAnsi="Arial" w:eastAsia="黑体" w:cs="Times New Roman"/>
      <w:b/>
      <w:bCs/>
      <w:sz w:val="32"/>
      <w:szCs w:val="32"/>
    </w:rPr>
  </w:style>
  <w:style w:type="character" w:customStyle="1" w:styleId="27">
    <w:name w:val="批注框文本 Char"/>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customXml" Target="../customXml/item1.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68E3D4-2076-456C-AE31-BD825EB6B50F}">
  <ds:schemaRefs/>
</ds:datastoreItem>
</file>

<file path=docProps/app.xml><?xml version="1.0" encoding="utf-8"?>
<Properties xmlns="http://schemas.openxmlformats.org/officeDocument/2006/extended-properties" xmlns:vt="http://schemas.openxmlformats.org/officeDocument/2006/docPropsVTypes">
  <Template>Normal</Template>
  <Pages>16</Pages>
  <Words>626</Words>
  <Characters>3572</Characters>
  <Lines>29</Lines>
  <Paragraphs>8</Paragraphs>
  <TotalTime>15</TotalTime>
  <ScaleCrop>false</ScaleCrop>
  <LinksUpToDate>false</LinksUpToDate>
  <CharactersWithSpaces>4190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王小冉</cp:lastModifiedBy>
  <dcterms:modified xsi:type="dcterms:W3CDTF">2020-05-11T10:00:48Z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